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09936" w14:textId="77777777" w:rsidR="008D271F" w:rsidRDefault="008D271F"/>
    <w:p w14:paraId="1986A347" w14:textId="77777777" w:rsidR="006F48ED" w:rsidRDefault="006F48ED"/>
    <w:p w14:paraId="789132D6" w14:textId="77777777" w:rsidR="006F48ED" w:rsidRDefault="006F48ED"/>
    <w:p w14:paraId="559BBDAD" w14:textId="77777777" w:rsidR="006F48ED" w:rsidRDefault="006F48ED"/>
    <w:p w14:paraId="7093AC09" w14:textId="77777777" w:rsidR="006F48ED" w:rsidRDefault="006F48ED"/>
    <w:p w14:paraId="4C0C70A3" w14:textId="77777777" w:rsidR="006F48ED" w:rsidRDefault="006F48ED"/>
    <w:p w14:paraId="2BAF5C43" w14:textId="77777777" w:rsidR="006F48ED" w:rsidRDefault="006F48ED" w:rsidP="006F48ED">
      <w:pPr>
        <w:pStyle w:val="pdq2pgselectionanchorcontainer"/>
        <w:rPr>
          <w:rStyle w:val="Enfasigrassetto"/>
        </w:rPr>
      </w:pPr>
    </w:p>
    <w:p w14:paraId="68DC492A" w14:textId="0F361476" w:rsidR="00E919A1" w:rsidRDefault="00E919A1" w:rsidP="006F48ED">
      <w:pPr>
        <w:pStyle w:val="pdq2pgselectionanchorcontainer"/>
        <w:rPr>
          <w:rStyle w:val="Enfasigrassetto"/>
        </w:rPr>
      </w:pPr>
      <w:r>
        <w:rPr>
          <w:rStyle w:val="Enfasigrassetto"/>
        </w:rPr>
        <w:t>Ortensie da seme: il processo e i risultati: verifica bibliografica</w:t>
      </w:r>
    </w:p>
    <w:p w14:paraId="19EF4137" w14:textId="77777777" w:rsidR="003429E7" w:rsidRDefault="006F48ED" w:rsidP="003429E7">
      <w:pPr>
        <w:pStyle w:val="pdq2pgselectionanchorcontainer"/>
        <w:rPr>
          <w:rStyle w:val="Enfasigrassetto"/>
          <w:b w:val="0"/>
          <w:bCs w:val="0"/>
        </w:rPr>
      </w:pPr>
      <w:r w:rsidRPr="00E919A1">
        <w:rPr>
          <w:rStyle w:val="Enfasigrassetto"/>
          <w:b w:val="0"/>
          <w:bCs w:val="0"/>
        </w:rPr>
        <w:t>Nelle</w:t>
      </w:r>
      <w:r w:rsidR="00C8387C" w:rsidRPr="00E919A1">
        <w:rPr>
          <w:rStyle w:val="Enfasigrassetto"/>
          <w:b w:val="0"/>
          <w:bCs w:val="0"/>
        </w:rPr>
        <w:t xml:space="preserve"> </w:t>
      </w:r>
      <w:r w:rsidR="00E919A1" w:rsidRPr="00E919A1">
        <w:rPr>
          <w:rStyle w:val="Enfasigrassetto"/>
          <w:b w:val="0"/>
          <w:bCs w:val="0"/>
        </w:rPr>
        <w:t>numeros</w:t>
      </w:r>
      <w:r w:rsidR="00E919A1">
        <w:rPr>
          <w:rStyle w:val="Enfasigrassetto"/>
          <w:b w:val="0"/>
          <w:bCs w:val="0"/>
        </w:rPr>
        <w:t>e</w:t>
      </w:r>
      <w:r w:rsidR="00E919A1" w:rsidRPr="00E919A1">
        <w:rPr>
          <w:rStyle w:val="Enfasigrassetto"/>
          <w:b w:val="0"/>
          <w:bCs w:val="0"/>
        </w:rPr>
        <w:t xml:space="preserve"> fonti</w:t>
      </w:r>
      <w:r w:rsidRPr="00E919A1">
        <w:rPr>
          <w:rStyle w:val="Enfasigrassetto"/>
          <w:b w:val="0"/>
          <w:bCs w:val="0"/>
        </w:rPr>
        <w:t xml:space="preserve"> internazionali esaminate non abbiamo trovato un progetto</w:t>
      </w:r>
      <w:r w:rsidR="00C8387C" w:rsidRPr="00E919A1">
        <w:rPr>
          <w:rStyle w:val="Enfasigrassetto"/>
          <w:b w:val="0"/>
          <w:bCs w:val="0"/>
        </w:rPr>
        <w:t>/esperienza</w:t>
      </w:r>
      <w:r w:rsidRPr="00E919A1">
        <w:rPr>
          <w:rStyle w:val="Enfasigrassetto"/>
          <w:b w:val="0"/>
          <w:bCs w:val="0"/>
        </w:rPr>
        <w:t xml:space="preserve"> documentato comparabile, nel suo insieme, al “Giardino delle Ortensie da Seme</w:t>
      </w:r>
      <w:r w:rsidR="00C8387C" w:rsidRPr="00E919A1">
        <w:rPr>
          <w:rStyle w:val="Enfasigrassetto"/>
          <w:b w:val="0"/>
          <w:bCs w:val="0"/>
        </w:rPr>
        <w:t xml:space="preserve">”  </w:t>
      </w:r>
    </w:p>
    <w:p w14:paraId="70FD18DF" w14:textId="77777777" w:rsidR="003429E7" w:rsidRDefault="003429E7" w:rsidP="003429E7">
      <w:pPr>
        <w:pStyle w:val="pdq2pgselectionanchorcontainer"/>
        <w:rPr>
          <w:rStyle w:val="Enfasigrassetto"/>
          <w:b w:val="0"/>
          <w:bCs w:val="0"/>
        </w:rPr>
      </w:pPr>
      <w:r>
        <w:rPr>
          <w:rStyle w:val="Enfasigrassetto"/>
          <w:b w:val="0"/>
          <w:bCs w:val="0"/>
        </w:rPr>
        <w:t>Ma abbiamo riscontrato</w:t>
      </w:r>
      <w:r w:rsidR="00E919A1">
        <w:rPr>
          <w:rStyle w:val="Enfasigrassetto"/>
          <w:b w:val="0"/>
          <w:bCs w:val="0"/>
        </w:rPr>
        <w:t xml:space="preserve"> </w:t>
      </w:r>
      <w:r>
        <w:rPr>
          <w:rStyle w:val="Enfasigrassetto"/>
          <w:b w:val="0"/>
          <w:bCs w:val="0"/>
        </w:rPr>
        <w:t xml:space="preserve">numerosi </w:t>
      </w:r>
      <w:r w:rsidR="00E919A1" w:rsidRPr="003429E7">
        <w:rPr>
          <w:rStyle w:val="Enfasigrassetto"/>
        </w:rPr>
        <w:t>studi scientifici settoriali</w:t>
      </w:r>
      <w:r w:rsidR="00E919A1">
        <w:rPr>
          <w:rStyle w:val="Enfasigrassetto"/>
          <w:b w:val="0"/>
          <w:bCs w:val="0"/>
        </w:rPr>
        <w:t xml:space="preserve"> di elevata qualità ed interesse utilizzabili per confronto e validazione dei nostri risultati;</w:t>
      </w:r>
    </w:p>
    <w:p w14:paraId="4112B16A" w14:textId="2FE3C5C4" w:rsidR="00015D33" w:rsidRDefault="003429E7" w:rsidP="00015D33">
      <w:pPr>
        <w:pStyle w:val="pdq2pgselectionanchorcontainer"/>
      </w:pPr>
      <w:r>
        <w:rPr>
          <w:rStyle w:val="Enfasigrassetto"/>
          <w:b w:val="0"/>
          <w:bCs w:val="0"/>
        </w:rPr>
        <w:t>Nei</w:t>
      </w:r>
      <w:r w:rsidR="00E919A1">
        <w:rPr>
          <w:rStyle w:val="Enfasigrassetto"/>
          <w:b w:val="0"/>
          <w:bCs w:val="0"/>
        </w:rPr>
        <w:t xml:space="preserve"> grandi giardini e collezioni di ortensie alcuni si sono interessati dell’argomento a Partire da </w:t>
      </w:r>
      <w:r w:rsidR="00E919A1">
        <w:rPr>
          <w:rStyle w:val="Enfasigrassetto"/>
        </w:rPr>
        <w:t>Maurice Foster, a White House Farm (Kent)</w:t>
      </w:r>
      <w:r w:rsidR="00E919A1">
        <w:t>,</w:t>
      </w:r>
      <w:r w:rsidR="00E919A1" w:rsidRPr="00E919A1">
        <w:t xml:space="preserve"> </w:t>
      </w:r>
      <w:r w:rsidR="00E919A1">
        <w:t xml:space="preserve">che ha prodotto, coltivato, confrontato e mantenuto nel proprio giardino numerose progenie da seme di diverse </w:t>
      </w:r>
      <w:proofErr w:type="spellStart"/>
      <w:r w:rsidR="00E919A1">
        <w:t>Hydrangea</w:t>
      </w:r>
      <w:proofErr w:type="spellEnd"/>
      <w:r w:rsidR="00C43539">
        <w:t xml:space="preserve"> ma </w:t>
      </w:r>
      <w:r w:rsidR="00C43539" w:rsidRPr="00C43539">
        <w:rPr>
          <w:rStyle w:val="Enfasigrassetto"/>
          <w:b w:val="0"/>
          <w:bCs w:val="0"/>
        </w:rPr>
        <w:t>nelle fonti esaminate non abbiamo trovato documentato l'intero percorso</w:t>
      </w:r>
      <w:r>
        <w:t xml:space="preserve">; </w:t>
      </w:r>
      <w:r>
        <w:rPr>
          <w:rStyle w:val="Enfasigrassetto"/>
        </w:rPr>
        <w:t>pianta madre → capsula → osservazione e confronto dei semi → semina tracciata → progenie → fioritura → confronto madre/figli nel giardino</w:t>
      </w:r>
      <w:r w:rsidR="00015D33">
        <w:rPr>
          <w:rStyle w:val="Enfasigrassetto"/>
        </w:rPr>
        <w:t xml:space="preserve">, inoltre </w:t>
      </w:r>
      <w:r>
        <w:t xml:space="preserve"> </w:t>
      </w:r>
      <w:r w:rsidR="00015D33">
        <w:t xml:space="preserve">non abbiamo trovato documentata una banca di semi di </w:t>
      </w:r>
      <w:proofErr w:type="spellStart"/>
      <w:r w:rsidR="00015D33">
        <w:t>Hydrangea</w:t>
      </w:r>
      <w:proofErr w:type="spellEnd"/>
      <w:r w:rsidR="00015D33">
        <w:t xml:space="preserve"> integrata nel percorso che stiamo descrivendo</w:t>
      </w:r>
      <w:r w:rsidR="00015D33">
        <w:t>.</w:t>
      </w:r>
    </w:p>
    <w:p w14:paraId="7E92095A" w14:textId="657E8073" w:rsidR="007B5188" w:rsidRPr="003429E7" w:rsidRDefault="007B5188" w:rsidP="00015D33">
      <w:pPr>
        <w:pStyle w:val="pdq2pgselectionanchorcontainer"/>
      </w:pPr>
      <w:r w:rsidRPr="003429E7">
        <w:t xml:space="preserve">La ricerca è stata condotta con un criterio volutamente </w:t>
      </w:r>
      <w:proofErr w:type="spellStart"/>
      <w:r w:rsidRPr="003429E7">
        <w:rPr>
          <w:b/>
          <w:bCs/>
        </w:rPr>
        <w:t>avversariale</w:t>
      </w:r>
      <w:proofErr w:type="spellEnd"/>
      <w:r w:rsidRPr="003429E7">
        <w:t>: abbiamo cercato non conferme dell'originalità del progetto, ma esperienze che potessero dimostrare l'esistenza di lavori comparabili.</w:t>
      </w:r>
    </w:p>
    <w:p w14:paraId="437DBD68" w14:textId="77777777" w:rsidR="007B5188" w:rsidRDefault="007B5188" w:rsidP="007B5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Sono state effettuate ricerche web e bibliografiche internazionali, utilizzando combinazioni di termini relativi a </w:t>
      </w:r>
      <w:proofErr w:type="spellStart"/>
      <w:r w:rsidRPr="003429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Hydrangea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semi, capsule, germinazione, seedlings, progenie, breeding, collezioni, giardini, confronto madre–progenie e coltivazione fino alla fioritura. Sono state esplorate fonti europee, nordamericane e asiatiche, comprese pubblicazioni in lingua cinese e giapponese.</w:t>
      </w:r>
    </w:p>
    <w:p w14:paraId="7F443F50" w14:textId="567C580A" w:rsidR="007B5188" w:rsidRPr="003429E7" w:rsidRDefault="007B5188" w:rsidP="007B5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Ulteriori dettagli in allegato </w:t>
      </w:r>
      <w:r w:rsidRPr="007B51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1: La nostra ricerca</w:t>
      </w:r>
    </w:p>
    <w:p w14:paraId="51CE23F9" w14:textId="02868B13" w:rsidR="003429E7" w:rsidRDefault="003429E7" w:rsidP="003429E7">
      <w:pPr>
        <w:pStyle w:val="pdq2pgselectionanchorcontainer"/>
      </w:pPr>
      <w:r>
        <w:br/>
      </w:r>
    </w:p>
    <w:p w14:paraId="0CDB1CB9" w14:textId="7CC38650" w:rsidR="003429E7" w:rsidRPr="003429E7" w:rsidRDefault="00E919A1" w:rsidP="003429E7">
      <w:pPr>
        <w:pStyle w:val="Titolo2"/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it-IT"/>
          <w14:ligatures w14:val="none"/>
        </w:rPr>
      </w:pPr>
      <w:r>
        <w:br/>
      </w:r>
      <w:r w:rsidR="007B5188"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it-IT"/>
          <w14:ligatures w14:val="none"/>
        </w:rPr>
        <w:t xml:space="preserve">Allegato 1:  </w:t>
      </w:r>
      <w:r w:rsidR="003429E7" w:rsidRPr="003429E7"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it-IT"/>
          <w14:ligatures w14:val="none"/>
        </w:rPr>
        <w:t>LA NOSTRA RICERCA</w:t>
      </w:r>
    </w:p>
    <w:p w14:paraId="4CE99071" w14:textId="77777777" w:rsidR="003429E7" w:rsidRPr="003429E7" w:rsidRDefault="003429E7" w:rsidP="00342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ricerca è stata condotta con un criterio volutamente </w:t>
      </w:r>
      <w:proofErr w:type="spellStart"/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avversariale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abbiamo cercato non conferme dell'originalità del progetto, ma esperienze che potessero dimostrare l'esistenza di lavori comparabili.</w:t>
      </w:r>
    </w:p>
    <w:p w14:paraId="37571179" w14:textId="77777777" w:rsidR="003429E7" w:rsidRPr="003429E7" w:rsidRDefault="003429E7" w:rsidP="00342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Sono state effettuate ricerche web e bibliografiche internazionali, utilizzando combinazioni di termini relativi a </w:t>
      </w:r>
      <w:proofErr w:type="spellStart"/>
      <w:r w:rsidRPr="003429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Hydrangea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semi, capsule, germinazione, seedlings, progenie, breeding, collezioni, giardini, confronto madre–progenie e coltivazione fino alla fioritura. Sono state esplorate fonti europee, nordamericane e asiatiche, comprese pubblicazioni in lingua cinese e giapponese.</w:t>
      </w:r>
    </w:p>
    <w:p w14:paraId="2246214E" w14:textId="77777777" w:rsidR="003429E7" w:rsidRPr="003429E7" w:rsidRDefault="003429E7" w:rsidP="00342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Sono stati esaminati articoli scientifici peer-</w:t>
      </w:r>
      <w:proofErr w:type="spellStart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reviewed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pubblicazioni tecniche, università e centri pubblici di ricerca, programmi di breeding, arboreti, grandi collezioni di </w:t>
      </w:r>
      <w:proofErr w:type="spellStart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Hydrangea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vivai specializzati e documentazione di coltivatori e </w:t>
      </w:r>
      <w:proofErr w:type="spellStart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breeder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77878B6" w14:textId="77777777" w:rsidR="003429E7" w:rsidRPr="003429E7" w:rsidRDefault="003429E7" w:rsidP="00342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Tra i principali enti e gruppi scientifici individuati figurano USDA </w:t>
      </w:r>
      <w:proofErr w:type="spellStart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Agricultural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Research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Service, University of Minnesota, University of Georgia, University of Tennessee, CREA – Centro di ricerca Orticoltura e Florovivaismo, Università di Firenze, </w:t>
      </w:r>
      <w:proofErr w:type="spellStart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Chinese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Academy of Sciences e altri istituti asiatici. USDA, ad esempio, ha studiato sperimentalmente germinazione e dormienza di semi open-</w:t>
      </w:r>
      <w:proofErr w:type="spellStart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pollinated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provenienti da 12 cultivar di </w:t>
      </w:r>
      <w:r w:rsidRPr="003429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H. </w:t>
      </w:r>
      <w:proofErr w:type="spellStart"/>
      <w:r w:rsidRPr="003429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macrophylla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3429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H. paniculata</w:t>
      </w: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63BBD3FA" w14:textId="77777777" w:rsidR="003429E7" w:rsidRPr="003429E7" w:rsidRDefault="003429E7" w:rsidP="00342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Sono stati trovati studi altamente specialistici: un lavoro della </w:t>
      </w:r>
      <w:proofErr w:type="spellStart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Chinese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Academy of Sciences ha confrontato mediante microscopia elettronica </w:t>
      </w:r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i semi di 29 specie di </w:t>
      </w:r>
      <w:proofErr w:type="spellStart"/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Hydrangea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un programma statunitense su </w:t>
      </w:r>
      <w:r w:rsidRPr="003429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H. </w:t>
      </w:r>
      <w:proofErr w:type="spellStart"/>
      <w:r w:rsidRPr="003429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quercifolia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ha raccolto semi da </w:t>
      </w:r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55 popolazioni naturali</w:t>
      </w: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seguito le progenie confrontandone numerosi caratteri; CREA e Università di Firenze hanno studiato incroci, capsule immature, ovuli, germinazione e coltura </w:t>
      </w:r>
      <w:r w:rsidRPr="003429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in vitro</w:t>
      </w: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37C01362" w14:textId="77777777" w:rsidR="003429E7" w:rsidRPr="003429E7" w:rsidRDefault="003429E7" w:rsidP="00342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Sono stati inoltre esaminati importanti programmi di breeding e grandi collezioni internazionali, compresi programmi giapponesi, </w:t>
      </w:r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White House Farm Garden &amp; </w:t>
      </w:r>
      <w:proofErr w:type="spellStart"/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Arboretum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collezioni francesi e britanniche e coltivatori specializzati. Il caso risultato più vicino è quello di </w:t>
      </w:r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Maurice Foster (White House Farm, Kent)</w:t>
      </w: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decenni di incroci e coltivazione di seedlings di diverse </w:t>
      </w:r>
      <w:proofErr w:type="spellStart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Hydrangea</w:t>
      </w:r>
      <w:proofErr w:type="spellEnd"/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progenie conservate e confrontate e loro presenza nel giardino. Sono documentate fotograficamente anche più piante figlie provenienti dallo stesso incrocio. </w:t>
      </w:r>
    </w:p>
    <w:p w14:paraId="5EB47037" w14:textId="77777777" w:rsidR="003429E7" w:rsidRPr="003429E7" w:rsidRDefault="003429E7" w:rsidP="00342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ricerca ha quindi individuato </w:t>
      </w:r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numerosi precedenti per quasi tutti i singoli elementi</w:t>
      </w: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nostro lavoro — studio dei semi, germinazione, progenie tracciate, confronto della variabilità, crescita fino alla fioritura, breeding e conservazione in collezione — spesso realizzati con mezzi e rigore scientifico molto superiori ai nostri.</w:t>
      </w:r>
    </w:p>
    <w:p w14:paraId="4B41D11C" w14:textId="77777777" w:rsidR="003429E7" w:rsidRPr="003429E7" w:rsidRDefault="003429E7" w:rsidP="00342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è stata invece individuata, nelle fonti esaminate, la loro integrazione in un unico progetto documentato comparabile al nostro:</w:t>
      </w: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pianta madre identificata → capsula e maturazione → estrazione e documentazione fotografica/comparativa dei semi → conservazione → semina tracciata → progenie → crescita e fioritura → confronto con le piante di origine → inserimento permanente nel giardino, su più specie e cultivar. </w:t>
      </w:r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è stata inoltre individuata una banca dei semi inserita e tracciata all'interno di un percorso complessivo di questo tipo.</w:t>
      </w:r>
    </w:p>
    <w:p w14:paraId="370004ED" w14:textId="77777777" w:rsidR="003429E7" w:rsidRPr="003429E7" w:rsidRDefault="003429E7" w:rsidP="00342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ricerca rimane necessariamente </w:t>
      </w:r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esaustiva</w:t>
      </w: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un'esperienza non pubblicata o non indicizzata potrebbe esistere. Per questo la conclusione corretta non è “primo al mondo”, ma </w:t>
      </w:r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“nelle fonti internazionali esaminate non è stato trovato un progetto documentato comparabile nel suo insieme”</w:t>
      </w: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6C9C534" w14:textId="77777777" w:rsidR="003429E7" w:rsidRPr="003429E7" w:rsidRDefault="003429E7" w:rsidP="00342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Sono disponibili l'elenco delle fonti, i lavori scientifici, gli enti, le collezioni e i casi esaminati per eventuali approfondimenti e verifiche.</w:t>
      </w:r>
    </w:p>
    <w:p w14:paraId="559F0BD8" w14:textId="77777777" w:rsidR="003429E7" w:rsidRPr="003429E7" w:rsidRDefault="00000000" w:rsidP="003429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E8F5C76">
          <v:rect id="_x0000_i1025" style="width:0;height:1.5pt" o:hralign="center" o:hrstd="t" o:hr="t" fillcolor="#a0a0a0" stroked="f"/>
        </w:pict>
      </w:r>
    </w:p>
    <w:p w14:paraId="519640E6" w14:textId="77777777" w:rsidR="003429E7" w:rsidRPr="003429E7" w:rsidRDefault="003429E7" w:rsidP="00342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Questa, insieme alle </w:t>
      </w:r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10 righe che hai già copiato</w:t>
      </w: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secondo me costituisce la nostra prima versione del documento. La terrei così prima di lavorarci insieme: soprattutto </w:t>
      </w:r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gonfiamo i numeri</w:t>
      </w: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Se vorremo scrivere “X fonti, Y pubblicazioni, Z istituzioni”, faremo prima un censimento verificabile della bibliografia raccolta.</w:t>
      </w:r>
    </w:p>
    <w:p w14:paraId="0C4492D2" w14:textId="77777777" w:rsidR="003429E7" w:rsidRPr="003429E7" w:rsidRDefault="003429E7" w:rsidP="00342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 sì: se questo documento rimane in piedi dopo le nostre critiche, </w:t>
      </w:r>
      <w:r w:rsidRPr="003429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video, sito e presentazione del progetto dovranno essere riguardati da capo</w:t>
      </w:r>
      <w:r w:rsidRPr="003429E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Non perché prima fossero brutti, ma perché prima mancava questa verifica fondamentale.</w:t>
      </w:r>
    </w:p>
    <w:p w14:paraId="5EEC4D80" w14:textId="3DC13EE8" w:rsidR="00C8387C" w:rsidRDefault="00C8387C" w:rsidP="00C8387C">
      <w:pPr>
        <w:pStyle w:val="pdq2pgselectionanchorcontainer"/>
        <w:rPr>
          <w:rStyle w:val="Enfasigrassetto"/>
          <w:b w:val="0"/>
          <w:bCs w:val="0"/>
        </w:rPr>
      </w:pPr>
    </w:p>
    <w:p w14:paraId="4EC0FF3F" w14:textId="77777777" w:rsidR="00C4285B" w:rsidRPr="00C4285B" w:rsidRDefault="00C4285B" w:rsidP="00C428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4285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ALLEGATO 2 — Principali fonti ed esperienze confrontate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0"/>
        <w:gridCol w:w="943"/>
        <w:gridCol w:w="1384"/>
        <w:gridCol w:w="1757"/>
        <w:gridCol w:w="4054"/>
      </w:tblGrid>
      <w:tr w:rsidR="00C4285B" w:rsidRPr="00C4285B" w14:paraId="45606B2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D0CE75B" w14:textId="77777777" w:rsidR="00C4285B" w:rsidRPr="00C4285B" w:rsidRDefault="00C4285B" w:rsidP="00C4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Autore / Ente</w:t>
            </w:r>
          </w:p>
        </w:tc>
        <w:tc>
          <w:tcPr>
            <w:tcW w:w="0" w:type="auto"/>
            <w:vAlign w:val="center"/>
            <w:hideMark/>
          </w:tcPr>
          <w:p w14:paraId="5314753C" w14:textId="77777777" w:rsidR="00C4285B" w:rsidRPr="00C4285B" w:rsidRDefault="00C4285B" w:rsidP="00C4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Paese</w:t>
            </w:r>
          </w:p>
        </w:tc>
        <w:tc>
          <w:tcPr>
            <w:tcW w:w="0" w:type="auto"/>
            <w:vAlign w:val="center"/>
            <w:hideMark/>
          </w:tcPr>
          <w:p w14:paraId="52E25D35" w14:textId="77777777" w:rsidR="00C4285B" w:rsidRPr="00C4285B" w:rsidRDefault="00C4285B" w:rsidP="00C4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Materiale / dimensione</w:t>
            </w:r>
          </w:p>
        </w:tc>
        <w:tc>
          <w:tcPr>
            <w:tcW w:w="0" w:type="auto"/>
            <w:vAlign w:val="center"/>
            <w:hideMark/>
          </w:tcPr>
          <w:p w14:paraId="511E8EFF" w14:textId="77777777" w:rsidR="00C4285B" w:rsidRPr="00C4285B" w:rsidRDefault="00C4285B" w:rsidP="00C4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Che cosa documenta</w:t>
            </w:r>
          </w:p>
        </w:tc>
        <w:tc>
          <w:tcPr>
            <w:tcW w:w="0" w:type="auto"/>
            <w:vAlign w:val="center"/>
            <w:hideMark/>
          </w:tcPr>
          <w:p w14:paraId="1C60B730" w14:textId="77777777" w:rsidR="00C4285B" w:rsidRPr="00C4285B" w:rsidRDefault="00C4285B" w:rsidP="00C42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Rapporto con il nostro progetto</w:t>
            </w:r>
          </w:p>
        </w:tc>
      </w:tr>
      <w:tr w:rsidR="00C4285B" w:rsidRPr="00C4285B" w14:paraId="2AE7FD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B9248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Greer, Reed, Rinehart – USDA-ARS</w:t>
            </w:r>
          </w:p>
        </w:tc>
        <w:tc>
          <w:tcPr>
            <w:tcW w:w="0" w:type="auto"/>
            <w:vAlign w:val="center"/>
            <w:hideMark/>
          </w:tcPr>
          <w:p w14:paraId="3427A933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7092E995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10 cultivar </w:t>
            </w:r>
            <w:r w:rsidRPr="00C428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H.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macrophylla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+ 2 </w:t>
            </w:r>
            <w:r w:rsidRPr="00C428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H. paniculata</w:t>
            </w:r>
          </w:p>
        </w:tc>
        <w:tc>
          <w:tcPr>
            <w:tcW w:w="0" w:type="auto"/>
            <w:vAlign w:val="center"/>
            <w:hideMark/>
          </w:tcPr>
          <w:p w14:paraId="4F17F416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Vitalità, dormienza, stratificazione, luce, GA3, germinazione </w:t>
            </w:r>
            <w:r w:rsidRPr="00C428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in vitro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digital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imaging</w:t>
            </w:r>
          </w:p>
        </w:tc>
        <w:tc>
          <w:tcPr>
            <w:tcW w:w="0" w:type="auto"/>
            <w:vAlign w:val="center"/>
            <w:hideMark/>
          </w:tcPr>
          <w:p w14:paraId="64FBCCAD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Molto importante per validare/confrontare il nostro lavoro sui semi e sulla germinazione; non è un progetto-giardino.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</w:tr>
      <w:tr w:rsidR="00C4285B" w:rsidRPr="00C4285B" w14:paraId="01B421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E6FDF6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Sherwood, Alexander, Clark, McNamara, Hokanson – University of Minnesota / USDA</w:t>
            </w:r>
          </w:p>
        </w:tc>
        <w:tc>
          <w:tcPr>
            <w:tcW w:w="0" w:type="auto"/>
            <w:vAlign w:val="center"/>
            <w:hideMark/>
          </w:tcPr>
          <w:p w14:paraId="58A97C77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7918C09C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H.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quercifolia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semi raccolti in </w:t>
            </w: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55 popolazioni naturali</w:t>
            </w:r>
          </w:p>
        </w:tc>
        <w:tc>
          <w:tcPr>
            <w:tcW w:w="0" w:type="auto"/>
            <w:vAlign w:val="center"/>
            <w:hideMark/>
          </w:tcPr>
          <w:p w14:paraId="45A229A4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Progenie da seme e confronto quantitativo di altezza, nodi, internodi, ramificazione e larghezza</w:t>
            </w:r>
          </w:p>
        </w:tc>
        <w:tc>
          <w:tcPr>
            <w:tcW w:w="0" w:type="auto"/>
            <w:vAlign w:val="center"/>
            <w:hideMark/>
          </w:tcPr>
          <w:p w14:paraId="792453EA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Fortissimo precedente per progenie e dati comparativi; una specie, finalità scientifica/breeding.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</w:tr>
      <w:tr w:rsidR="00C4285B" w:rsidRPr="00C4285B" w14:paraId="3DB07B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8787D8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Zhang et al. –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Chinese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Academy of Sciences</w:t>
            </w:r>
          </w:p>
        </w:tc>
        <w:tc>
          <w:tcPr>
            <w:tcW w:w="0" w:type="auto"/>
            <w:vAlign w:val="center"/>
            <w:hideMark/>
          </w:tcPr>
          <w:p w14:paraId="4873737D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Cina</w:t>
            </w:r>
          </w:p>
        </w:tc>
        <w:tc>
          <w:tcPr>
            <w:tcW w:w="0" w:type="auto"/>
            <w:vAlign w:val="center"/>
            <w:hideMark/>
          </w:tcPr>
          <w:p w14:paraId="1022634C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Semi di </w:t>
            </w: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29 specie di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Hydrangea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4808C5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Micromorfologia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SEM: forma, reticolatura, ornamentazione e significato tassonomico</w:t>
            </w:r>
          </w:p>
        </w:tc>
        <w:tc>
          <w:tcPr>
            <w:tcW w:w="0" w:type="auto"/>
            <w:vAlign w:val="center"/>
            <w:hideMark/>
          </w:tcPr>
          <w:p w14:paraId="70851CD8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Precedente scientifico fondamentale per le nostre fotografie e confronti morfologici dei semi.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</w:tr>
      <w:tr w:rsidR="00C4285B" w:rsidRPr="00C4285B" w14:paraId="17ECFA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E73C9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Nesi /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Mansuino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– CREA Orticoltura e Florovivaismo, progetto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Mi.Ge.Hydra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FCAD34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Italia</w:t>
            </w:r>
          </w:p>
        </w:tc>
        <w:tc>
          <w:tcPr>
            <w:tcW w:w="0" w:type="auto"/>
            <w:vAlign w:val="center"/>
            <w:hideMark/>
          </w:tcPr>
          <w:p w14:paraId="258D6CCC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 2012–2025</w:t>
            </w:r>
          </w:p>
        </w:tc>
        <w:tc>
          <w:tcPr>
            <w:tcW w:w="0" w:type="auto"/>
            <w:vAlign w:val="center"/>
            <w:hideMark/>
          </w:tcPr>
          <w:p w14:paraId="3D939DD5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Incroci inter/intraspecifici, capsule immature, prelievo e conteggio ovuli,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ovule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 rescue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germinazione e plantule</w:t>
            </w:r>
          </w:p>
        </w:tc>
        <w:tc>
          <w:tcPr>
            <w:tcW w:w="0" w:type="auto"/>
            <w:vAlign w:val="center"/>
            <w:hideMark/>
          </w:tcPr>
          <w:p w14:paraId="631AD868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Molto vicino ad alcuni nostri interrogativi su capsule/ovuli, ma finalizzato al miglioramento genetico.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</w:tr>
      <w:tr w:rsidR="00C4285B" w:rsidRPr="00C4285B" w14:paraId="351FFD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500FF8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Maurice Foster – White House Farm Garden &amp;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Arboretum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819E46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Regno Unito</w:t>
            </w:r>
          </w:p>
        </w:tc>
        <w:tc>
          <w:tcPr>
            <w:tcW w:w="0" w:type="auto"/>
            <w:vAlign w:val="center"/>
            <w:hideMark/>
          </w:tcPr>
          <w:p w14:paraId="7AA19C99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Decenni di breeding di </w:t>
            </w:r>
            <w:r w:rsidRPr="00C428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H. serrata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macrophylla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r w:rsidRPr="00C428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aspera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ecc.; 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grandissime progenie</w:t>
            </w:r>
          </w:p>
        </w:tc>
        <w:tc>
          <w:tcPr>
            <w:tcW w:w="0" w:type="auto"/>
            <w:vAlign w:val="center"/>
            <w:hideMark/>
          </w:tcPr>
          <w:p w14:paraId="25018A20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Seedlings prodotti, conservati, confrontati e inseriti nel 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giardino; il percorso di </w:t>
            </w:r>
            <w:r w:rsidRPr="00C428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serrata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deriva da circa tre decenni di breeding</w:t>
            </w:r>
          </w:p>
        </w:tc>
        <w:tc>
          <w:tcPr>
            <w:tcW w:w="0" w:type="auto"/>
            <w:vAlign w:val="center"/>
            <w:hideMark/>
          </w:tcPr>
          <w:p w14:paraId="471CC0DF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È il caso complessivamente più vicino trovato.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Non abbiamo trovato nelle fonti esaminate la documentazione continua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capsula→seme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comparato→lotto→pianta→madre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/progenie propria del nostro percorso. </w:t>
            </w:r>
          </w:p>
        </w:tc>
      </w:tr>
      <w:tr w:rsidR="00C4285B" w:rsidRPr="00C4285B" w14:paraId="0DF6D1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49DEE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Foster / White House Farm – progenie in valutazione</w:t>
            </w:r>
          </w:p>
        </w:tc>
        <w:tc>
          <w:tcPr>
            <w:tcW w:w="0" w:type="auto"/>
            <w:vAlign w:val="center"/>
            <w:hideMark/>
          </w:tcPr>
          <w:p w14:paraId="0E6B8716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Regno Unito</w:t>
            </w:r>
          </w:p>
        </w:tc>
        <w:tc>
          <w:tcPr>
            <w:tcW w:w="0" w:type="auto"/>
            <w:vAlign w:val="center"/>
            <w:hideMark/>
          </w:tcPr>
          <w:p w14:paraId="4E29FF61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H. serrata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percorso di seedlings in valutazione lungo circa </w:t>
            </w: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¼ di miglio</w:t>
            </w:r>
          </w:p>
        </w:tc>
        <w:tc>
          <w:tcPr>
            <w:tcW w:w="0" w:type="auto"/>
            <w:vAlign w:val="center"/>
            <w:hideMark/>
          </w:tcPr>
          <w:p w14:paraId="3C370268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Enorme popolazione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seed-grown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mantenuta e valutata nel giardino</w:t>
            </w:r>
          </w:p>
        </w:tc>
        <w:tc>
          <w:tcPr>
            <w:tcW w:w="0" w:type="auto"/>
            <w:vAlign w:val="center"/>
            <w:hideMark/>
          </w:tcPr>
          <w:p w14:paraId="25642547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Dimostra che “un giardino con moltissime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Hydrangea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da seme” esiste: quindi questo, da solo, non può essere il nostro elemento distintivo.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</w:tr>
      <w:tr w:rsidR="00C4285B" w:rsidRPr="00C4285B" w14:paraId="18F27A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E0A00E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Foster e altri –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Hydrangea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 xml:space="preserve"> aspera</w:t>
            </w:r>
          </w:p>
        </w:tc>
        <w:tc>
          <w:tcPr>
            <w:tcW w:w="0" w:type="auto"/>
            <w:vAlign w:val="center"/>
            <w:hideMark/>
          </w:tcPr>
          <w:p w14:paraId="546917F2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Regno Unito</w:t>
            </w:r>
          </w:p>
        </w:tc>
        <w:tc>
          <w:tcPr>
            <w:tcW w:w="0" w:type="auto"/>
            <w:vAlign w:val="center"/>
            <w:hideMark/>
          </w:tcPr>
          <w:p w14:paraId="5EC8771A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Progenie da singolo incrocio controllato</w:t>
            </w:r>
          </w:p>
        </w:tc>
        <w:tc>
          <w:tcPr>
            <w:tcW w:w="0" w:type="auto"/>
            <w:vAlign w:val="center"/>
            <w:hideMark/>
          </w:tcPr>
          <w:p w14:paraId="4B8E18A1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Fotografie comparative di seedlings dello stesso incrocio con diversità di portamento, foglia, indumento e infiorescenza</w:t>
            </w:r>
          </w:p>
        </w:tc>
        <w:tc>
          <w:tcPr>
            <w:tcW w:w="0" w:type="auto"/>
            <w:vAlign w:val="center"/>
            <w:hideMark/>
          </w:tcPr>
          <w:p w14:paraId="2553BFD1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Molto vicino al nostro interesse madre/progenie e variabilità; non documenta l'intero percorso dal seme.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</w:tr>
      <w:tr w:rsidR="00C4285B" w:rsidRPr="00C4285B" w14:paraId="22DB50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20926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Kamo /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Toyokazu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Ichie</w:t>
            </w:r>
          </w:p>
        </w:tc>
        <w:tc>
          <w:tcPr>
            <w:tcW w:w="0" w:type="auto"/>
            <w:vAlign w:val="center"/>
            <w:hideMark/>
          </w:tcPr>
          <w:p w14:paraId="3105BBBD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Giappone</w:t>
            </w:r>
          </w:p>
        </w:tc>
        <w:tc>
          <w:tcPr>
            <w:tcW w:w="0" w:type="auto"/>
            <w:vAlign w:val="center"/>
            <w:hideMark/>
          </w:tcPr>
          <w:p w14:paraId="44001FB2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Oltre </w:t>
            </w: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80 cultivar parentali, circa 800 combinazioni d'incrocio, &gt;120 cultivar nominate</w:t>
            </w:r>
          </w:p>
        </w:tc>
        <w:tc>
          <w:tcPr>
            <w:tcW w:w="0" w:type="auto"/>
            <w:vAlign w:val="center"/>
            <w:hideMark/>
          </w:tcPr>
          <w:p w14:paraId="53CCC7EE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Grande programma pluriennale di breeding di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Hydrangea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1ECE40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Dimostra l'enorme sviluppo della propagazione sessuale finalizzata alla selezione; obiettivo però diverso dal nostro.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</w:tr>
      <w:tr w:rsidR="00C4285B" w:rsidRPr="00C4285B" w14:paraId="075AE6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A5EDC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Collection Shamrock – Corinne e Robert Mallet</w:t>
            </w:r>
          </w:p>
        </w:tc>
        <w:tc>
          <w:tcPr>
            <w:tcW w:w="0" w:type="auto"/>
            <w:vAlign w:val="center"/>
            <w:hideMark/>
          </w:tcPr>
          <w:p w14:paraId="6D060D43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Francia</w:t>
            </w:r>
          </w:p>
        </w:tc>
        <w:tc>
          <w:tcPr>
            <w:tcW w:w="0" w:type="auto"/>
            <w:vAlign w:val="center"/>
            <w:hideMark/>
          </w:tcPr>
          <w:p w14:paraId="1C37C066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Circa </w:t>
            </w: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2.000 piante, 1.200 differenti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collezione iniziata nel 1984</w:t>
            </w:r>
          </w:p>
        </w:tc>
        <w:tc>
          <w:tcPr>
            <w:tcW w:w="0" w:type="auto"/>
            <w:vAlign w:val="center"/>
            <w:hideMark/>
          </w:tcPr>
          <w:p w14:paraId="21DCC2AD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Ricerca sul genere, introduzione, identificazione, studio del comportamento, documentazione e divulgazione</w:t>
            </w:r>
          </w:p>
        </w:tc>
        <w:tc>
          <w:tcPr>
            <w:tcW w:w="0" w:type="auto"/>
            <w:vAlign w:val="center"/>
            <w:hideMark/>
          </w:tcPr>
          <w:p w14:paraId="2D25347A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Termine di confronto essenziale per dimensione e documentazione di una collezione; non risulta organizzata attorno al percorso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seme→progenie→giardino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</w:tr>
      <w:tr w:rsidR="00C4285B" w:rsidRPr="00C4285B" w14:paraId="49F9B1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0DAE2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Association Shamrock</w:t>
            </w:r>
          </w:p>
        </w:tc>
        <w:tc>
          <w:tcPr>
            <w:tcW w:w="0" w:type="auto"/>
            <w:vAlign w:val="center"/>
            <w:hideMark/>
          </w:tcPr>
          <w:p w14:paraId="49E9EDFD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Francia</w:t>
            </w:r>
          </w:p>
        </w:tc>
        <w:tc>
          <w:tcPr>
            <w:tcW w:w="0" w:type="auto"/>
            <w:vAlign w:val="center"/>
            <w:hideMark/>
          </w:tcPr>
          <w:p w14:paraId="2E5BCD3E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Fototeca, erbario, biblioteca, database internazionale, archivi scientifici</w:t>
            </w:r>
          </w:p>
        </w:tc>
        <w:tc>
          <w:tcPr>
            <w:tcW w:w="0" w:type="auto"/>
            <w:vAlign w:val="center"/>
            <w:hideMark/>
          </w:tcPr>
          <w:p w14:paraId="12DD7E32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Conservazione e organizzazione sistematica della documentazione sul genere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Hydrangea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3F0041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Importante confronto con la nostra idea di archivio/documentazione; dimostra che questo elemento, isolatamente, non è originale.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</w:tr>
      <w:tr w:rsidR="00C4285B" w:rsidRPr="00C4285B" w14:paraId="061DAA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16A212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Katrin Meinl / tradizione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breeder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della Sassonia</w:t>
            </w:r>
          </w:p>
        </w:tc>
        <w:tc>
          <w:tcPr>
            <w:tcW w:w="0" w:type="auto"/>
            <w:vAlign w:val="center"/>
            <w:hideMark/>
          </w:tcPr>
          <w:p w14:paraId="7E54391E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Germania</w:t>
            </w:r>
          </w:p>
        </w:tc>
        <w:tc>
          <w:tcPr>
            <w:tcW w:w="0" w:type="auto"/>
            <w:vAlign w:val="center"/>
            <w:hideMark/>
          </w:tcPr>
          <w:p w14:paraId="00203707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&gt;30 anni; oltre </w:t>
            </w: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33 cultivar di </w:t>
            </w: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H.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macrophylla</w:t>
            </w:r>
            <w:proofErr w:type="spellEnd"/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attribuite a Meinl</w:t>
            </w:r>
          </w:p>
        </w:tc>
        <w:tc>
          <w:tcPr>
            <w:tcW w:w="0" w:type="auto"/>
            <w:vAlign w:val="center"/>
            <w:hideMark/>
          </w:tcPr>
          <w:p w14:paraId="6EEBB639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Breeding professionale e 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produzione di seedlings</w:t>
            </w:r>
          </w:p>
        </w:tc>
        <w:tc>
          <w:tcPr>
            <w:tcW w:w="0" w:type="auto"/>
            <w:vAlign w:val="center"/>
            <w:hideMark/>
          </w:tcPr>
          <w:p w14:paraId="63BA88C4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Altro importante precedente europeo per il lavoro da progenie; finalità varietale/commerciale.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</w:tr>
      <w:tr w:rsidR="00C4285B" w:rsidRPr="00C4285B" w14:paraId="4ABAF8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16A4E4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Rassegna cinese sul germoplasma </w:t>
            </w:r>
            <w:proofErr w:type="spellStart"/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Hydrangea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C0942B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Cina</w:t>
            </w:r>
          </w:p>
        </w:tc>
        <w:tc>
          <w:tcPr>
            <w:tcW w:w="0" w:type="auto"/>
            <w:vAlign w:val="center"/>
            <w:hideMark/>
          </w:tcPr>
          <w:p w14:paraId="6D01318D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Ampia rassegna bibliografica internazionale</w:t>
            </w:r>
          </w:p>
        </w:tc>
        <w:tc>
          <w:tcPr>
            <w:tcW w:w="0" w:type="auto"/>
            <w:vAlign w:val="center"/>
            <w:hideMark/>
          </w:tcPr>
          <w:p w14:paraId="61D6D8D8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Germoplasma, breeding, morfologia, fisiologia e studi sui semi; comprende il lavoro sui 29 tipi di seme</w:t>
            </w:r>
          </w:p>
        </w:tc>
        <w:tc>
          <w:tcPr>
            <w:tcW w:w="0" w:type="auto"/>
            <w:vAlign w:val="center"/>
            <w:hideMark/>
          </w:tcPr>
          <w:p w14:paraId="0A49C298" w14:textId="77777777" w:rsidR="00C4285B" w:rsidRPr="00C4285B" w:rsidRDefault="00C4285B" w:rsidP="00C428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28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Utile come “porta d'ingresso” alla letteratura asiatica e per controllare che non ci stessimo limitando alle fonti occidentali.</w:t>
            </w:r>
            <w:r w:rsidRPr="00C428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</w:tr>
    </w:tbl>
    <w:p w14:paraId="01E83B3A" w14:textId="77777777" w:rsidR="00C4285B" w:rsidRPr="00C4285B" w:rsidRDefault="00C4285B" w:rsidP="00C428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4285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Cosa dimostra la tabella</w:t>
      </w:r>
    </w:p>
    <w:p w14:paraId="4534D69E" w14:textId="77777777" w:rsidR="00C4285B" w:rsidRPr="00C4285B" w:rsidRDefault="00C4285B" w:rsidP="00C428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428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cosa che mi sembra più forte, dopo il controllo, è questa: </w:t>
      </w:r>
      <w:r w:rsidRPr="00C428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abbiamo trovato precedenti molto seri praticamente per ogni singolo pezzo del nostro lavoro</w:t>
      </w:r>
      <w:r w:rsidRPr="00C428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Foster arriva persino al giardino popolato da grandi quantità di seedlings; USDA mantiene e confronta progenie; la </w:t>
      </w:r>
      <w:proofErr w:type="spellStart"/>
      <w:r w:rsidRPr="00C428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Chinese</w:t>
      </w:r>
      <w:proofErr w:type="spellEnd"/>
      <w:r w:rsidRPr="00C428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Academy confronta scientificamente i semi; CREA entra addirittura dentro capsule e ovuli; Shamrock possiede un archivio straordinario. </w:t>
      </w:r>
    </w:p>
    <w:p w14:paraId="171A4E3C" w14:textId="77777777" w:rsidR="00C4285B" w:rsidRPr="00C4285B" w:rsidRDefault="00C4285B" w:rsidP="00C428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428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Quello che continua a non comparire nelle fonti controllate è la combinazione di questi elementi nello stesso percorso:</w:t>
      </w:r>
      <w:r w:rsidRPr="00C428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pianta madre nota → capsula/maturazione → seme fotografato, misurato e confrontato → conservazione del lotto → semina → progenie tracciata → crescita → fioritura → ritorno nel giardino e confronto con le piante di origine, su più </w:t>
      </w:r>
      <w:proofErr w:type="spellStart"/>
      <w:r w:rsidRPr="00C428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Hydrangea</w:t>
      </w:r>
      <w:proofErr w:type="spellEnd"/>
      <w:r w:rsidRPr="00C428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7380E50" w14:textId="77777777" w:rsidR="00C4285B" w:rsidRPr="00C4285B" w:rsidRDefault="00C4285B" w:rsidP="00C428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428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 sulla </w:t>
      </w:r>
      <w:r w:rsidRPr="00C428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banca dei semi</w:t>
      </w:r>
      <w:r w:rsidRPr="00C428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dopo aver trovato quella pagina di White House Farm, sarei ancora più rigoroso: non scriverei più «non abbiamo trovato una banca dei semi». Scriverei:</w:t>
      </w:r>
    </w:p>
    <w:p w14:paraId="6C8A0DF1" w14:textId="77777777" w:rsidR="00C4285B" w:rsidRPr="00C4285B" w:rsidRDefault="00C4285B" w:rsidP="00C428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428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«Nelle fonti esaminate non abbiamo trovato documentata una banca di semi di </w:t>
      </w:r>
      <w:proofErr w:type="spellStart"/>
      <w:r w:rsidRPr="00C428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Hydrangea</w:t>
      </w:r>
      <w:proofErr w:type="spellEnd"/>
      <w:r w:rsidRPr="00C428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integrata e tracciata lungo l'intero percorso pianta madre–seme–progenie–giardino.»</w:t>
      </w:r>
    </w:p>
    <w:p w14:paraId="0745D290" w14:textId="77777777" w:rsidR="00C4285B" w:rsidRPr="00C4285B" w:rsidRDefault="00C4285B" w:rsidP="00C428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428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Questa è più precisa e, proprio per questo, </w:t>
      </w:r>
      <w:r w:rsidRPr="00C428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più difficile da contestare</w:t>
      </w:r>
      <w:r w:rsidRPr="00C428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CAB831B" w14:textId="77777777" w:rsidR="00C4285B" w:rsidRPr="00C4285B" w:rsidRDefault="00C4285B" w:rsidP="00C428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428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tabella è già utilizzabile come prima versione dell'</w:t>
      </w:r>
      <w:r w:rsidRPr="00C428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Allegato 2</w:t>
      </w:r>
      <w:r w:rsidRPr="00C4285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Non la allargherei ancora: questi 12 riferimenti sono molto più convincenti di un elenco enorme di siti visitati.</w:t>
      </w:r>
    </w:p>
    <w:p w14:paraId="6BDBC863" w14:textId="77777777" w:rsidR="00C4285B" w:rsidRDefault="00C4285B" w:rsidP="00C8387C">
      <w:pPr>
        <w:pStyle w:val="pdq2pgselectionanchorcontainer"/>
        <w:rPr>
          <w:rStyle w:val="Enfasigrassetto"/>
          <w:b w:val="0"/>
          <w:bCs w:val="0"/>
        </w:rPr>
      </w:pPr>
    </w:p>
    <w:p w14:paraId="3CF30E69" w14:textId="77777777" w:rsidR="00C4285B" w:rsidRPr="00E919A1" w:rsidRDefault="00C4285B" w:rsidP="00C8387C">
      <w:pPr>
        <w:pStyle w:val="pdq2pgselectionanchorcontainer"/>
        <w:rPr>
          <w:rStyle w:val="Enfasigrassetto"/>
          <w:b w:val="0"/>
          <w:bCs w:val="0"/>
        </w:rPr>
      </w:pPr>
    </w:p>
    <w:sectPr w:rsidR="00C4285B" w:rsidRPr="00E919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ED"/>
    <w:rsid w:val="00015D33"/>
    <w:rsid w:val="00171276"/>
    <w:rsid w:val="003429E7"/>
    <w:rsid w:val="00604F62"/>
    <w:rsid w:val="006F48ED"/>
    <w:rsid w:val="007B5188"/>
    <w:rsid w:val="00813971"/>
    <w:rsid w:val="008D271F"/>
    <w:rsid w:val="00996123"/>
    <w:rsid w:val="00AD4B9A"/>
    <w:rsid w:val="00B66992"/>
    <w:rsid w:val="00C4285B"/>
    <w:rsid w:val="00C43539"/>
    <w:rsid w:val="00C8387C"/>
    <w:rsid w:val="00DB7FB0"/>
    <w:rsid w:val="00E9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A0E79"/>
  <w15:chartTrackingRefBased/>
  <w15:docId w15:val="{80F25D22-C1E3-48AE-B975-3256DB0AF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6123"/>
  </w:style>
  <w:style w:type="paragraph" w:styleId="Titolo1">
    <w:name w:val="heading 1"/>
    <w:basedOn w:val="Normale"/>
    <w:next w:val="Normale"/>
    <w:link w:val="Titolo1Carattere"/>
    <w:uiPriority w:val="9"/>
    <w:qFormat/>
    <w:rsid w:val="006F4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4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4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4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4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4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4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4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4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4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4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4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48E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48E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48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48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48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48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4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4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4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4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4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48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48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F48E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4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48E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48ED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e"/>
    <w:rsid w:val="006F4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6F48ED"/>
    <w:rPr>
      <w:b/>
      <w:bCs/>
    </w:rPr>
  </w:style>
  <w:style w:type="character" w:styleId="Enfasicorsivo">
    <w:name w:val="Emphasis"/>
    <w:basedOn w:val="Carpredefinitoparagrafo"/>
    <w:uiPriority w:val="20"/>
    <w:qFormat/>
    <w:rsid w:val="006F48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gianfranco baraghini</dc:creator>
  <cp:keywords/>
  <dc:description/>
  <cp:lastModifiedBy>gianfranco baraghini</cp:lastModifiedBy>
  <cp:revision>3</cp:revision>
  <dcterms:created xsi:type="dcterms:W3CDTF">2026-09-10T16:14:00Z</dcterms:created>
  <dcterms:modified xsi:type="dcterms:W3CDTF">2026-09-10T18:38:00Z</dcterms:modified>
</cp:coreProperties>
</file>